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C1" w:rsidRPr="00AF45DB" w:rsidRDefault="00D719C1" w:rsidP="00D719C1">
      <w:pPr>
        <w:ind w:firstLine="709"/>
        <w:jc w:val="center"/>
        <w:rPr>
          <w:b/>
          <w:sz w:val="28"/>
          <w:szCs w:val="28"/>
        </w:rPr>
      </w:pPr>
      <w:r w:rsidRPr="00AF45DB">
        <w:rPr>
          <w:b/>
          <w:bCs/>
          <w:sz w:val="28"/>
          <w:szCs w:val="28"/>
        </w:rPr>
        <w:t xml:space="preserve">Особые права при приёме на обучение </w:t>
      </w:r>
      <w:r w:rsidRPr="00AF45DB">
        <w:rPr>
          <w:b/>
          <w:sz w:val="28"/>
          <w:szCs w:val="28"/>
        </w:rPr>
        <w:t>по программам</w:t>
      </w:r>
    </w:p>
    <w:p w:rsidR="00D719C1" w:rsidRPr="00DE2614" w:rsidRDefault="00D719C1" w:rsidP="00D719C1">
      <w:pPr>
        <w:spacing w:after="240"/>
        <w:ind w:firstLine="709"/>
        <w:jc w:val="center"/>
        <w:rPr>
          <w:b/>
          <w:sz w:val="28"/>
          <w:szCs w:val="28"/>
        </w:rPr>
      </w:pPr>
      <w:proofErr w:type="spellStart"/>
      <w:proofErr w:type="gramStart"/>
      <w:r w:rsidRPr="00AF45DB">
        <w:rPr>
          <w:b/>
          <w:sz w:val="28"/>
          <w:szCs w:val="28"/>
        </w:rPr>
        <w:t>бакалавриата</w:t>
      </w:r>
      <w:proofErr w:type="spellEnd"/>
      <w:proofErr w:type="gramEnd"/>
      <w:r w:rsidRPr="00AF45DB">
        <w:rPr>
          <w:b/>
          <w:sz w:val="28"/>
          <w:szCs w:val="28"/>
        </w:rPr>
        <w:t xml:space="preserve"> и </w:t>
      </w:r>
      <w:r>
        <w:rPr>
          <w:b/>
          <w:sz w:val="28"/>
          <w:szCs w:val="28"/>
        </w:rPr>
        <w:t xml:space="preserve">программам </w:t>
      </w:r>
      <w:proofErr w:type="spellStart"/>
      <w:r>
        <w:rPr>
          <w:b/>
          <w:sz w:val="28"/>
          <w:szCs w:val="28"/>
        </w:rPr>
        <w:t>специалитета</w:t>
      </w:r>
      <w:proofErr w:type="spellEnd"/>
    </w:p>
    <w:p w:rsidR="00D719C1" w:rsidRPr="00AF45DB" w:rsidRDefault="00D719C1" w:rsidP="00D719C1">
      <w:pPr>
        <w:shd w:val="clear" w:color="auto" w:fill="FFFFFF"/>
        <w:ind w:firstLine="709"/>
        <w:jc w:val="both"/>
        <w:rPr>
          <w:sz w:val="28"/>
          <w:szCs w:val="28"/>
        </w:rPr>
      </w:pPr>
      <w:r w:rsidRPr="00AF45DB">
        <w:rPr>
          <w:sz w:val="28"/>
          <w:szCs w:val="28"/>
        </w:rPr>
        <w:t xml:space="preserve"> Поступающим на обучение по программам </w:t>
      </w:r>
      <w:proofErr w:type="spellStart"/>
      <w:r w:rsidRPr="00AF45DB">
        <w:rPr>
          <w:sz w:val="28"/>
          <w:szCs w:val="28"/>
        </w:rPr>
        <w:t>бакалавриата</w:t>
      </w:r>
      <w:proofErr w:type="spellEnd"/>
      <w:r w:rsidRPr="00AF45DB">
        <w:rPr>
          <w:sz w:val="28"/>
          <w:szCs w:val="28"/>
        </w:rPr>
        <w:t xml:space="preserve"> и программам </w:t>
      </w:r>
      <w:proofErr w:type="spellStart"/>
      <w:r w:rsidRPr="00AF45DB">
        <w:rPr>
          <w:sz w:val="28"/>
          <w:szCs w:val="28"/>
        </w:rPr>
        <w:t>специалитета</w:t>
      </w:r>
      <w:proofErr w:type="spellEnd"/>
      <w:r w:rsidRPr="00AF45DB">
        <w:rPr>
          <w:sz w:val="28"/>
          <w:szCs w:val="28"/>
        </w:rPr>
        <w:t xml:space="preserve"> предоставляются следующие особые права:</w:t>
      </w:r>
    </w:p>
    <w:p w:rsidR="00D719C1" w:rsidRPr="004948E3" w:rsidRDefault="00D719C1" w:rsidP="00D719C1">
      <w:pPr>
        <w:shd w:val="clear" w:color="auto" w:fill="FFFFFF"/>
        <w:ind w:firstLine="709"/>
        <w:jc w:val="both"/>
        <w:rPr>
          <w:sz w:val="28"/>
          <w:szCs w:val="28"/>
        </w:rPr>
      </w:pPr>
      <w:proofErr w:type="gramStart"/>
      <w:r w:rsidRPr="00AF45DB">
        <w:rPr>
          <w:sz w:val="28"/>
          <w:szCs w:val="28"/>
        </w:rPr>
        <w:t>по</w:t>
      </w:r>
      <w:proofErr w:type="gramEnd"/>
      <w:r w:rsidRPr="00AF45DB">
        <w:rPr>
          <w:sz w:val="28"/>
          <w:szCs w:val="28"/>
        </w:rPr>
        <w:t xml:space="preserve"> решению организации лицам, указанным в </w:t>
      </w:r>
      <w:hyperlink r:id="rId5" w:anchor="/document/70291362/entry/108847" w:history="1">
        <w:r w:rsidRPr="004948E3">
          <w:rPr>
            <w:sz w:val="28"/>
            <w:szCs w:val="28"/>
          </w:rPr>
          <w:t>части 12 статьи 71</w:t>
        </w:r>
      </w:hyperlink>
      <w:r w:rsidRPr="004948E3">
        <w:rPr>
          <w:sz w:val="28"/>
          <w:szCs w:val="28"/>
        </w:rPr>
        <w:t> Федерального закона № 273-ФЗ:</w:t>
      </w:r>
    </w:p>
    <w:p w:rsidR="00D719C1" w:rsidRPr="004948E3" w:rsidRDefault="00D719C1" w:rsidP="00D719C1">
      <w:pPr>
        <w:shd w:val="clear" w:color="auto" w:fill="FFFFFF"/>
        <w:ind w:firstLine="709"/>
        <w:jc w:val="both"/>
        <w:rPr>
          <w:sz w:val="28"/>
          <w:szCs w:val="28"/>
        </w:rPr>
      </w:pPr>
      <w:proofErr w:type="gramStart"/>
      <w:r w:rsidRPr="004948E3">
        <w:rPr>
          <w:sz w:val="28"/>
          <w:szCs w:val="28"/>
        </w:rPr>
        <w:t>право</w:t>
      </w:r>
      <w:proofErr w:type="gramEnd"/>
      <w:r w:rsidRPr="004948E3">
        <w:rPr>
          <w:sz w:val="28"/>
          <w:szCs w:val="28"/>
        </w:rPr>
        <w:t xml:space="preserve"> на прием без вступительных испытаний;</w:t>
      </w:r>
    </w:p>
    <w:p w:rsidR="00D719C1" w:rsidRPr="00AF45DB" w:rsidRDefault="00D719C1" w:rsidP="00D719C1">
      <w:pPr>
        <w:shd w:val="clear" w:color="auto" w:fill="FFFFFF"/>
        <w:ind w:firstLine="709"/>
        <w:jc w:val="both"/>
        <w:rPr>
          <w:sz w:val="28"/>
          <w:szCs w:val="28"/>
        </w:rPr>
      </w:pPr>
      <w:r w:rsidRPr="00AF45DB">
        <w:rPr>
          <w:sz w:val="28"/>
          <w:szCs w:val="28"/>
        </w:rPr>
        <w:t>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6" w:anchor="/document/70291362/entry/108812" w:history="1">
        <w:r w:rsidRPr="003D739C">
          <w:rPr>
            <w:sz w:val="28"/>
            <w:szCs w:val="28"/>
          </w:rPr>
          <w:t>частями 7</w:t>
        </w:r>
      </w:hyperlink>
      <w:r w:rsidRPr="003D739C">
        <w:rPr>
          <w:sz w:val="28"/>
          <w:szCs w:val="28"/>
        </w:rPr>
        <w:t> и </w:t>
      </w:r>
      <w:hyperlink r:id="rId7" w:anchor="/document/70291362/entry/108813" w:history="1">
        <w:r w:rsidRPr="003D739C">
          <w:rPr>
            <w:sz w:val="28"/>
            <w:szCs w:val="28"/>
          </w:rPr>
          <w:t>8 статьи 70</w:t>
        </w:r>
      </w:hyperlink>
      <w:r w:rsidRPr="00AF45DB">
        <w:rPr>
          <w:sz w:val="28"/>
          <w:szCs w:val="28"/>
        </w:rPr>
        <w:t> Федерального закона №273-ФЗ.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rsidR="00D719C1" w:rsidRPr="00AF45DB" w:rsidRDefault="00D719C1" w:rsidP="00D719C1">
      <w:pPr>
        <w:shd w:val="clear" w:color="auto" w:fill="FFFFFF"/>
        <w:ind w:firstLine="709"/>
        <w:jc w:val="both"/>
        <w:rPr>
          <w:sz w:val="28"/>
          <w:szCs w:val="28"/>
        </w:rPr>
      </w:pPr>
      <w:r w:rsidRPr="00AF45DB">
        <w:rPr>
          <w:sz w:val="28"/>
          <w:szCs w:val="28"/>
        </w:rPr>
        <w:t>Особые права, указанные в настоящем пункте, могут предоставляться одним и тем же поступающим.</w:t>
      </w:r>
    </w:p>
    <w:p w:rsidR="00D719C1" w:rsidRPr="00AF45DB" w:rsidRDefault="00D719C1" w:rsidP="00D719C1">
      <w:pPr>
        <w:shd w:val="clear" w:color="auto" w:fill="FFFFFF"/>
        <w:ind w:firstLine="709"/>
        <w:jc w:val="both"/>
        <w:rPr>
          <w:sz w:val="28"/>
          <w:szCs w:val="28"/>
        </w:rPr>
      </w:pPr>
      <w:r w:rsidRPr="00AF45DB">
        <w:rPr>
          <w:sz w:val="28"/>
          <w:szCs w:val="28"/>
        </w:rPr>
        <w:t>Лицам, имеющим право на прием без вступительных испытаний в соответствии с </w:t>
      </w:r>
      <w:hyperlink r:id="rId8" w:anchor="/document/70291362/entry/108826" w:history="1">
        <w:r w:rsidRPr="003D739C">
          <w:rPr>
            <w:sz w:val="28"/>
            <w:szCs w:val="28"/>
          </w:rPr>
          <w:t>частью 4 статьи 71</w:t>
        </w:r>
      </w:hyperlink>
      <w:r w:rsidRPr="00AF45DB">
        <w:rPr>
          <w:sz w:val="28"/>
          <w:szCs w:val="28"/>
        </w:rPr>
        <w:t> Федерального закона № 273-ФЗ, в течение срока предоставления указанного права, установленного </w:t>
      </w:r>
      <w:hyperlink r:id="rId9" w:anchor="/document/70291362/entry/108826" w:history="1">
        <w:r w:rsidRPr="003D739C">
          <w:rPr>
            <w:sz w:val="28"/>
            <w:szCs w:val="28"/>
          </w:rPr>
          <w:t>частью 4 статьи 71</w:t>
        </w:r>
      </w:hyperlink>
      <w:r w:rsidRPr="003D739C">
        <w:rPr>
          <w:sz w:val="28"/>
          <w:szCs w:val="28"/>
        </w:rPr>
        <w:t> Федерального закона № 273-ФЗ, предоставляется преимущество посред</w:t>
      </w:r>
      <w:r w:rsidRPr="00AF45DB">
        <w:rPr>
          <w:sz w:val="28"/>
          <w:szCs w:val="28"/>
        </w:rPr>
        <w:t>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p>
    <w:p w:rsidR="00D719C1" w:rsidRPr="00AF45DB" w:rsidRDefault="00D719C1" w:rsidP="00D719C1">
      <w:pPr>
        <w:shd w:val="clear" w:color="auto" w:fill="FFFFFF"/>
        <w:ind w:firstLine="709"/>
        <w:jc w:val="both"/>
        <w:rPr>
          <w:sz w:val="28"/>
          <w:szCs w:val="28"/>
        </w:rPr>
      </w:pPr>
      <w:r w:rsidRPr="00AF45DB">
        <w:rPr>
          <w:sz w:val="28"/>
          <w:szCs w:val="28"/>
        </w:rPr>
        <w:t>При приеме на обучение в рамках контрольных цифр приема поступающий, имеющий право на прием без вступительных испытаний в соответствии с </w:t>
      </w:r>
      <w:hyperlink r:id="rId10" w:anchor="/document/70291362/entry/108826" w:history="1">
        <w:r w:rsidRPr="00AF45DB">
          <w:rPr>
            <w:sz w:val="28"/>
            <w:szCs w:val="28"/>
          </w:rPr>
          <w:t>частью 4</w:t>
        </w:r>
      </w:hyperlink>
      <w:r w:rsidRPr="00AF45DB">
        <w:rPr>
          <w:sz w:val="28"/>
          <w:szCs w:val="28"/>
        </w:rPr>
        <w:t> и (или) </w:t>
      </w:r>
      <w:hyperlink r:id="rId11" w:anchor="/document/70291362/entry/108847" w:history="1">
        <w:r w:rsidRPr="00AF45DB">
          <w:rPr>
            <w:sz w:val="28"/>
            <w:szCs w:val="28"/>
          </w:rPr>
          <w:t>частью 12 статьи 71</w:t>
        </w:r>
      </w:hyperlink>
      <w:r w:rsidRPr="00AF45DB">
        <w:rPr>
          <w:sz w:val="28"/>
          <w:szCs w:val="28"/>
        </w:rPr>
        <w:t xml:space="preserve"> Федерального закона № 273-ФЗ, использует указанное </w:t>
      </w:r>
      <w:proofErr w:type="gramStart"/>
      <w:r w:rsidRPr="00AF45DB">
        <w:rPr>
          <w:sz w:val="28"/>
          <w:szCs w:val="28"/>
        </w:rPr>
        <w:t>право</w:t>
      </w:r>
      <w:proofErr w:type="gramEnd"/>
      <w:r w:rsidRPr="00AF45DB">
        <w:rPr>
          <w:sz w:val="28"/>
          <w:szCs w:val="28"/>
        </w:rPr>
        <w:t xml:space="preserve"> как единое право на прием без вступительных испытаний.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w:t>
      </w:r>
    </w:p>
    <w:p w:rsidR="00D719C1" w:rsidRPr="00AF45DB" w:rsidRDefault="00D719C1" w:rsidP="00D719C1">
      <w:pPr>
        <w:shd w:val="clear" w:color="auto" w:fill="FFFFFF"/>
        <w:ind w:firstLine="709"/>
        <w:jc w:val="both"/>
        <w:rPr>
          <w:sz w:val="28"/>
          <w:szCs w:val="28"/>
        </w:rPr>
      </w:pPr>
      <w:r w:rsidRPr="00AF45DB">
        <w:rPr>
          <w:sz w:val="28"/>
          <w:szCs w:val="28"/>
        </w:rPr>
        <w:t>Для приема на обучение лиц, имеющих право на прием без вступительных испытаний в соответствии с </w:t>
      </w:r>
      <w:hyperlink r:id="rId12" w:anchor="/document/70291362/entry/108826" w:history="1">
        <w:r w:rsidRPr="00AF45DB">
          <w:rPr>
            <w:sz w:val="28"/>
            <w:szCs w:val="28"/>
          </w:rPr>
          <w:t>частью 4 статьи 71</w:t>
        </w:r>
      </w:hyperlink>
      <w:r w:rsidRPr="00AF45DB">
        <w:rPr>
          <w:sz w:val="28"/>
          <w:szCs w:val="28"/>
        </w:rPr>
        <w:t> Федерального закона № 273-ФЗ, организация:</w:t>
      </w:r>
    </w:p>
    <w:p w:rsidR="00D719C1" w:rsidRPr="00012462" w:rsidRDefault="00D719C1" w:rsidP="00D719C1">
      <w:pPr>
        <w:shd w:val="clear" w:color="auto" w:fill="FFFFFF"/>
        <w:ind w:firstLine="709"/>
        <w:jc w:val="both"/>
        <w:rPr>
          <w:sz w:val="28"/>
          <w:szCs w:val="28"/>
        </w:rPr>
      </w:pPr>
      <w:proofErr w:type="gramStart"/>
      <w:r w:rsidRPr="00AF45DB">
        <w:rPr>
          <w:sz w:val="28"/>
          <w:szCs w:val="28"/>
        </w:rPr>
        <w:t>устанавливает</w:t>
      </w:r>
      <w:proofErr w:type="gramEnd"/>
      <w:r w:rsidRPr="00AF45DB">
        <w:rPr>
          <w:sz w:val="28"/>
          <w:szCs w:val="28"/>
        </w:rPr>
        <w:t xml:space="preserve"> соответствие конкурсных профилей (образовательных программ, специальностей, направлений подготовки,) профилям заключительно</w:t>
      </w:r>
      <w:r w:rsidRPr="00012462">
        <w:rPr>
          <w:sz w:val="28"/>
          <w:szCs w:val="28"/>
        </w:rPr>
        <w:t>го этапа всероссийской олимпиады школьников, международных олимпиад, указанных в </w:t>
      </w:r>
      <w:hyperlink r:id="rId13" w:anchor="/document/70291362/entry/108824" w:history="1">
        <w:r w:rsidRPr="00012462">
          <w:rPr>
            <w:sz w:val="28"/>
            <w:szCs w:val="28"/>
          </w:rPr>
          <w:t>пункте 1 части 4 статьи 71</w:t>
        </w:r>
      </w:hyperlink>
      <w:r w:rsidRPr="00012462">
        <w:rPr>
          <w:sz w:val="28"/>
          <w:szCs w:val="28"/>
        </w:rPr>
        <w:t xml:space="preserve"> Федерального закона № 273-ФЗ (далее - международные олимпиады </w:t>
      </w:r>
      <w:r w:rsidRPr="00012462">
        <w:rPr>
          <w:sz w:val="28"/>
          <w:szCs w:val="28"/>
        </w:rPr>
        <w:lastRenderedPageBreak/>
        <w:t xml:space="preserve">школьников), для предоставления права на прием без вступительных испытаний </w:t>
      </w:r>
      <w:r>
        <w:rPr>
          <w:sz w:val="28"/>
          <w:szCs w:val="28"/>
        </w:rPr>
        <w:t>.</w:t>
      </w:r>
    </w:p>
    <w:p w:rsidR="00D719C1" w:rsidRPr="00012462" w:rsidRDefault="00D719C1" w:rsidP="00D719C1">
      <w:pPr>
        <w:pStyle w:val="1"/>
        <w:tabs>
          <w:tab w:val="left" w:pos="0"/>
        </w:tabs>
        <w:spacing w:before="240" w:line="240" w:lineRule="auto"/>
        <w:ind w:firstLine="709"/>
        <w:jc w:val="center"/>
        <w:rPr>
          <w:b/>
        </w:rPr>
      </w:pPr>
      <w:r w:rsidRPr="00012462">
        <w:rPr>
          <w:b/>
        </w:rPr>
        <w:t>Соотнесение профилей всероссийской олимпиады школьников</w:t>
      </w:r>
    </w:p>
    <w:p w:rsidR="00D719C1" w:rsidRDefault="00D719C1" w:rsidP="00D719C1">
      <w:pPr>
        <w:pStyle w:val="1"/>
        <w:tabs>
          <w:tab w:val="left" w:pos="0"/>
        </w:tabs>
        <w:spacing w:line="240" w:lineRule="auto"/>
        <w:ind w:firstLine="709"/>
        <w:jc w:val="center"/>
        <w:rPr>
          <w:b/>
        </w:rPr>
      </w:pPr>
      <w:proofErr w:type="gramStart"/>
      <w:r w:rsidRPr="00012462">
        <w:rPr>
          <w:b/>
        </w:rPr>
        <w:t>к</w:t>
      </w:r>
      <w:proofErr w:type="gramEnd"/>
      <w:r w:rsidRPr="00012462">
        <w:rPr>
          <w:b/>
        </w:rPr>
        <w:t xml:space="preserve"> профилям </w:t>
      </w:r>
      <w:proofErr w:type="spellStart"/>
      <w:r w:rsidRPr="00012462">
        <w:rPr>
          <w:b/>
        </w:rPr>
        <w:t>бакалавриата</w:t>
      </w:r>
      <w:proofErr w:type="spellEnd"/>
      <w:r w:rsidRPr="00012462">
        <w:rPr>
          <w:b/>
        </w:rPr>
        <w:t xml:space="preserve"> и </w:t>
      </w:r>
      <w:proofErr w:type="spellStart"/>
      <w:r w:rsidRPr="00012462">
        <w:rPr>
          <w:b/>
        </w:rPr>
        <w:t>специалитета</w:t>
      </w:r>
      <w:proofErr w:type="spellEnd"/>
    </w:p>
    <w:p w:rsidR="00D719C1" w:rsidRPr="00012462" w:rsidRDefault="00D719C1" w:rsidP="00D719C1">
      <w:pPr>
        <w:pStyle w:val="1"/>
        <w:tabs>
          <w:tab w:val="left" w:pos="0"/>
        </w:tabs>
        <w:spacing w:line="240" w:lineRule="auto"/>
        <w:ind w:firstLine="709"/>
        <w:jc w:val="center"/>
        <w:rPr>
          <w:sz w:val="24"/>
          <w:szCs w:val="24"/>
        </w:rPr>
      </w:pPr>
      <w:r>
        <w:rPr>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094"/>
        <w:gridCol w:w="3804"/>
      </w:tblGrid>
      <w:tr w:rsidR="00D719C1" w:rsidRPr="00012462" w:rsidTr="00B913DC">
        <w:tc>
          <w:tcPr>
            <w:tcW w:w="946" w:type="dxa"/>
            <w:shd w:val="clear" w:color="auto" w:fill="auto"/>
          </w:tcPr>
          <w:p w:rsidR="00D719C1" w:rsidRPr="00012462" w:rsidRDefault="00D719C1" w:rsidP="00B913DC">
            <w:pPr>
              <w:widowControl w:val="0"/>
              <w:tabs>
                <w:tab w:val="left" w:pos="1181"/>
              </w:tabs>
              <w:autoSpaceDE w:val="0"/>
              <w:autoSpaceDN w:val="0"/>
              <w:adjustRightInd w:val="0"/>
              <w:jc w:val="both"/>
            </w:pPr>
            <w:r w:rsidRPr="00012462">
              <w:t>№ п/п</w:t>
            </w:r>
          </w:p>
        </w:tc>
        <w:tc>
          <w:tcPr>
            <w:tcW w:w="4298" w:type="dxa"/>
            <w:shd w:val="clear" w:color="auto" w:fill="auto"/>
          </w:tcPr>
          <w:p w:rsidR="00D719C1" w:rsidRPr="00012462" w:rsidRDefault="00D719C1" w:rsidP="00B913DC">
            <w:pPr>
              <w:widowControl w:val="0"/>
              <w:tabs>
                <w:tab w:val="left" w:pos="1181"/>
              </w:tabs>
              <w:autoSpaceDE w:val="0"/>
              <w:autoSpaceDN w:val="0"/>
              <w:adjustRightInd w:val="0"/>
            </w:pPr>
            <w:r w:rsidRPr="00012462">
              <w:t>Специальности (направления подготовки)</w:t>
            </w:r>
          </w:p>
        </w:tc>
        <w:tc>
          <w:tcPr>
            <w:tcW w:w="3969" w:type="dxa"/>
            <w:shd w:val="clear" w:color="auto" w:fill="auto"/>
          </w:tcPr>
          <w:p w:rsidR="00D719C1" w:rsidRPr="00012462" w:rsidRDefault="00D719C1" w:rsidP="00B913DC">
            <w:pPr>
              <w:widowControl w:val="0"/>
              <w:tabs>
                <w:tab w:val="left" w:pos="1181"/>
              </w:tabs>
              <w:autoSpaceDE w:val="0"/>
              <w:autoSpaceDN w:val="0"/>
              <w:adjustRightInd w:val="0"/>
              <w:jc w:val="both"/>
            </w:pPr>
            <w:r w:rsidRPr="00012462">
              <w:t xml:space="preserve">Профили (предметы) олимпиад </w:t>
            </w:r>
          </w:p>
        </w:tc>
      </w:tr>
      <w:tr w:rsidR="00D719C1" w:rsidRPr="00012462" w:rsidTr="00B913DC">
        <w:tc>
          <w:tcPr>
            <w:tcW w:w="946" w:type="dxa"/>
            <w:shd w:val="clear" w:color="auto" w:fill="auto"/>
          </w:tcPr>
          <w:p w:rsidR="00D719C1" w:rsidRPr="00012462" w:rsidRDefault="00D719C1" w:rsidP="00D719C1">
            <w:pPr>
              <w:widowControl w:val="0"/>
              <w:numPr>
                <w:ilvl w:val="0"/>
                <w:numId w:val="1"/>
              </w:numPr>
              <w:tabs>
                <w:tab w:val="left" w:pos="1181"/>
              </w:tabs>
              <w:autoSpaceDE w:val="0"/>
              <w:autoSpaceDN w:val="0"/>
              <w:adjustRightInd w:val="0"/>
              <w:jc w:val="both"/>
            </w:pPr>
          </w:p>
        </w:tc>
        <w:tc>
          <w:tcPr>
            <w:tcW w:w="4298" w:type="dxa"/>
            <w:shd w:val="clear" w:color="auto" w:fill="auto"/>
          </w:tcPr>
          <w:p w:rsidR="00D719C1" w:rsidRPr="00012462" w:rsidRDefault="00D719C1" w:rsidP="00B913DC">
            <w:pPr>
              <w:widowControl w:val="0"/>
              <w:tabs>
                <w:tab w:val="left" w:pos="1181"/>
              </w:tabs>
              <w:autoSpaceDE w:val="0"/>
              <w:autoSpaceDN w:val="0"/>
              <w:adjustRightInd w:val="0"/>
              <w:jc w:val="both"/>
            </w:pPr>
            <w:r w:rsidRPr="00012462">
              <w:t>20.05.01 Пожарная безопасность</w:t>
            </w:r>
          </w:p>
        </w:tc>
        <w:tc>
          <w:tcPr>
            <w:tcW w:w="3969" w:type="dxa"/>
            <w:shd w:val="clear" w:color="auto" w:fill="auto"/>
          </w:tcPr>
          <w:p w:rsidR="00D719C1" w:rsidRPr="00012462" w:rsidRDefault="00D719C1" w:rsidP="00B913DC">
            <w:pPr>
              <w:widowControl w:val="0"/>
              <w:tabs>
                <w:tab w:val="left" w:pos="1181"/>
              </w:tabs>
              <w:autoSpaceDE w:val="0"/>
              <w:autoSpaceDN w:val="0"/>
              <w:adjustRightInd w:val="0"/>
              <w:jc w:val="both"/>
            </w:pPr>
            <w:r w:rsidRPr="00012462">
              <w:t>Математика</w:t>
            </w:r>
          </w:p>
        </w:tc>
      </w:tr>
      <w:tr w:rsidR="00D719C1" w:rsidRPr="00E202AF" w:rsidTr="00B913DC">
        <w:tc>
          <w:tcPr>
            <w:tcW w:w="946" w:type="dxa"/>
            <w:shd w:val="clear" w:color="auto" w:fill="auto"/>
          </w:tcPr>
          <w:p w:rsidR="00D719C1" w:rsidRPr="00012462" w:rsidRDefault="00D719C1" w:rsidP="00D719C1">
            <w:pPr>
              <w:widowControl w:val="0"/>
              <w:numPr>
                <w:ilvl w:val="0"/>
                <w:numId w:val="1"/>
              </w:numPr>
              <w:tabs>
                <w:tab w:val="left" w:pos="1181"/>
              </w:tabs>
              <w:autoSpaceDE w:val="0"/>
              <w:autoSpaceDN w:val="0"/>
              <w:adjustRightInd w:val="0"/>
              <w:jc w:val="both"/>
            </w:pPr>
          </w:p>
        </w:tc>
        <w:tc>
          <w:tcPr>
            <w:tcW w:w="4298" w:type="dxa"/>
            <w:shd w:val="clear" w:color="auto" w:fill="auto"/>
          </w:tcPr>
          <w:p w:rsidR="00D719C1" w:rsidRPr="00012462" w:rsidRDefault="00D719C1" w:rsidP="00B913DC">
            <w:pPr>
              <w:widowControl w:val="0"/>
              <w:tabs>
                <w:tab w:val="left" w:pos="1181"/>
              </w:tabs>
              <w:autoSpaceDE w:val="0"/>
              <w:autoSpaceDN w:val="0"/>
              <w:adjustRightInd w:val="0"/>
            </w:pPr>
            <w:r w:rsidRPr="00012462">
              <w:t xml:space="preserve">20.03.01 </w:t>
            </w:r>
            <w:proofErr w:type="spellStart"/>
            <w:r w:rsidRPr="00012462">
              <w:t>Техносферная</w:t>
            </w:r>
            <w:proofErr w:type="spellEnd"/>
            <w:r w:rsidRPr="00012462">
              <w:t xml:space="preserve"> безопасность</w:t>
            </w:r>
          </w:p>
        </w:tc>
        <w:tc>
          <w:tcPr>
            <w:tcW w:w="3969" w:type="dxa"/>
            <w:shd w:val="clear" w:color="auto" w:fill="auto"/>
          </w:tcPr>
          <w:p w:rsidR="00D719C1" w:rsidRPr="00E202AF" w:rsidRDefault="00D719C1" w:rsidP="00B913DC">
            <w:pPr>
              <w:widowControl w:val="0"/>
              <w:tabs>
                <w:tab w:val="left" w:pos="1181"/>
              </w:tabs>
              <w:autoSpaceDE w:val="0"/>
              <w:autoSpaceDN w:val="0"/>
              <w:adjustRightInd w:val="0"/>
              <w:jc w:val="both"/>
            </w:pPr>
            <w:r w:rsidRPr="00012462">
              <w:t>Математика</w:t>
            </w:r>
          </w:p>
        </w:tc>
      </w:tr>
      <w:tr w:rsidR="00D719C1" w:rsidRPr="00E202AF" w:rsidTr="00B913DC">
        <w:tc>
          <w:tcPr>
            <w:tcW w:w="946" w:type="dxa"/>
            <w:shd w:val="clear" w:color="auto" w:fill="auto"/>
          </w:tcPr>
          <w:p w:rsidR="00D719C1" w:rsidRPr="00012462" w:rsidRDefault="00D719C1" w:rsidP="00D719C1">
            <w:pPr>
              <w:widowControl w:val="0"/>
              <w:numPr>
                <w:ilvl w:val="0"/>
                <w:numId w:val="1"/>
              </w:numPr>
              <w:tabs>
                <w:tab w:val="left" w:pos="1181"/>
              </w:tabs>
              <w:autoSpaceDE w:val="0"/>
              <w:autoSpaceDN w:val="0"/>
              <w:adjustRightInd w:val="0"/>
              <w:jc w:val="both"/>
            </w:pPr>
          </w:p>
        </w:tc>
        <w:tc>
          <w:tcPr>
            <w:tcW w:w="4298" w:type="dxa"/>
            <w:shd w:val="clear" w:color="auto" w:fill="auto"/>
          </w:tcPr>
          <w:p w:rsidR="00D719C1" w:rsidRPr="00012462" w:rsidRDefault="00D719C1" w:rsidP="00B913DC">
            <w:pPr>
              <w:widowControl w:val="0"/>
              <w:tabs>
                <w:tab w:val="left" w:pos="1181"/>
              </w:tabs>
              <w:autoSpaceDE w:val="0"/>
              <w:autoSpaceDN w:val="0"/>
              <w:adjustRightInd w:val="0"/>
            </w:pPr>
            <w:r>
              <w:t>40.05.03 Судебная экспертиза</w:t>
            </w:r>
          </w:p>
        </w:tc>
        <w:tc>
          <w:tcPr>
            <w:tcW w:w="3969" w:type="dxa"/>
            <w:shd w:val="clear" w:color="auto" w:fill="auto"/>
          </w:tcPr>
          <w:p w:rsidR="00D719C1" w:rsidRPr="00012462" w:rsidRDefault="00D719C1" w:rsidP="00B913DC">
            <w:pPr>
              <w:widowControl w:val="0"/>
              <w:tabs>
                <w:tab w:val="left" w:pos="1181"/>
              </w:tabs>
              <w:autoSpaceDE w:val="0"/>
              <w:autoSpaceDN w:val="0"/>
              <w:adjustRightInd w:val="0"/>
              <w:jc w:val="both"/>
            </w:pPr>
            <w:r>
              <w:t>Обществознание</w:t>
            </w:r>
          </w:p>
        </w:tc>
      </w:tr>
    </w:tbl>
    <w:p w:rsidR="00D719C1" w:rsidRPr="00122FAF" w:rsidRDefault="00D719C1" w:rsidP="00D719C1">
      <w:pPr>
        <w:shd w:val="clear" w:color="auto" w:fill="FFFFFF"/>
        <w:spacing w:before="100" w:beforeAutospacing="1" w:after="100" w:afterAutospacing="1"/>
        <w:ind w:firstLine="709"/>
        <w:jc w:val="both"/>
        <w:rPr>
          <w:sz w:val="28"/>
          <w:szCs w:val="28"/>
        </w:rPr>
      </w:pPr>
      <w:r w:rsidRPr="00AF45DB">
        <w:rPr>
          <w:sz w:val="28"/>
          <w:szCs w:val="28"/>
        </w:rPr>
        <w:t>6.5. Академия 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w:t>
      </w:r>
      <w:r>
        <w:rPr>
          <w:sz w:val="28"/>
          <w:szCs w:val="28"/>
        </w:rPr>
        <w:t xml:space="preserve">дународных олимпиад школьников. </w:t>
      </w:r>
      <w:r w:rsidRPr="0015532D">
        <w:rPr>
          <w:sz w:val="28"/>
          <w:szCs w:val="28"/>
        </w:rPr>
        <w:t>Академия устанавливает</w:t>
      </w:r>
      <w:r w:rsidRPr="00122FAF">
        <w:rPr>
          <w:sz w:val="28"/>
          <w:szCs w:val="28"/>
        </w:rPr>
        <w:t xml:space="preserve"> общеобразовательные вступительные испытания, соответствующие профилям олимпиады для предоставления права на 100 баллов. </w:t>
      </w:r>
    </w:p>
    <w:p w:rsidR="00D719C1" w:rsidRPr="00E202AF" w:rsidRDefault="00D719C1" w:rsidP="00D719C1">
      <w:pPr>
        <w:pStyle w:val="1"/>
        <w:tabs>
          <w:tab w:val="left" w:pos="0"/>
        </w:tabs>
        <w:spacing w:line="240" w:lineRule="auto"/>
        <w:ind w:firstLine="8080"/>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653"/>
        <w:gridCol w:w="3969"/>
      </w:tblGrid>
      <w:tr w:rsidR="00D719C1" w:rsidRPr="00E202AF" w:rsidTr="00B913DC">
        <w:tc>
          <w:tcPr>
            <w:tcW w:w="1242" w:type="dxa"/>
            <w:shd w:val="clear" w:color="auto" w:fill="auto"/>
          </w:tcPr>
          <w:p w:rsidR="00D719C1" w:rsidRPr="00E202AF" w:rsidRDefault="00D719C1" w:rsidP="00B913DC">
            <w:pPr>
              <w:widowControl w:val="0"/>
              <w:tabs>
                <w:tab w:val="left" w:pos="1181"/>
              </w:tabs>
              <w:autoSpaceDE w:val="0"/>
              <w:autoSpaceDN w:val="0"/>
              <w:adjustRightInd w:val="0"/>
              <w:jc w:val="both"/>
            </w:pPr>
            <w:r w:rsidRPr="00E202AF">
              <w:t>№ п/п</w:t>
            </w:r>
          </w:p>
        </w:tc>
        <w:tc>
          <w:tcPr>
            <w:tcW w:w="3861" w:type="dxa"/>
            <w:shd w:val="clear" w:color="auto" w:fill="auto"/>
          </w:tcPr>
          <w:p w:rsidR="00D719C1" w:rsidRPr="00E202AF" w:rsidRDefault="00D719C1" w:rsidP="00B913DC">
            <w:pPr>
              <w:widowControl w:val="0"/>
              <w:tabs>
                <w:tab w:val="left" w:pos="1181"/>
              </w:tabs>
              <w:autoSpaceDE w:val="0"/>
              <w:autoSpaceDN w:val="0"/>
              <w:adjustRightInd w:val="0"/>
              <w:jc w:val="both"/>
            </w:pPr>
            <w:r>
              <w:t>Профили олимпиад</w:t>
            </w:r>
          </w:p>
        </w:tc>
        <w:tc>
          <w:tcPr>
            <w:tcW w:w="4153" w:type="dxa"/>
            <w:shd w:val="clear" w:color="auto" w:fill="auto"/>
          </w:tcPr>
          <w:p w:rsidR="00D719C1" w:rsidRPr="00E202AF" w:rsidRDefault="00D719C1" w:rsidP="00B913DC">
            <w:pPr>
              <w:widowControl w:val="0"/>
              <w:tabs>
                <w:tab w:val="left" w:pos="1181"/>
              </w:tabs>
              <w:autoSpaceDE w:val="0"/>
              <w:autoSpaceDN w:val="0"/>
              <w:adjustRightInd w:val="0"/>
            </w:pPr>
            <w:r w:rsidRPr="00E202AF">
              <w:t>Предмет ЕГЭ/ общеобразовательное вступительное испытание, проводимое Академией самостоятельно</w:t>
            </w:r>
          </w:p>
        </w:tc>
      </w:tr>
      <w:tr w:rsidR="00D719C1" w:rsidRPr="00AF45DB" w:rsidTr="00B913DC">
        <w:trPr>
          <w:trHeight w:val="374"/>
        </w:trPr>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rsidRPr="00E202AF">
              <w:t>1.</w:t>
            </w:r>
          </w:p>
        </w:tc>
        <w:tc>
          <w:tcPr>
            <w:tcW w:w="3861" w:type="dxa"/>
            <w:shd w:val="clear" w:color="auto" w:fill="auto"/>
          </w:tcPr>
          <w:p w:rsidR="00D719C1" w:rsidRPr="00E202AF" w:rsidRDefault="00D719C1" w:rsidP="00B913DC">
            <w:pPr>
              <w:widowControl w:val="0"/>
              <w:tabs>
                <w:tab w:val="left" w:pos="1181"/>
              </w:tabs>
              <w:autoSpaceDE w:val="0"/>
              <w:autoSpaceDN w:val="0"/>
              <w:adjustRightInd w:val="0"/>
              <w:jc w:val="both"/>
            </w:pPr>
            <w:r w:rsidRPr="00E202AF">
              <w:t>Русский язык</w:t>
            </w:r>
          </w:p>
        </w:tc>
        <w:tc>
          <w:tcPr>
            <w:tcW w:w="4153" w:type="dxa"/>
            <w:shd w:val="clear" w:color="auto" w:fill="auto"/>
          </w:tcPr>
          <w:p w:rsidR="00D719C1" w:rsidRPr="00E202AF" w:rsidRDefault="00D719C1" w:rsidP="00B913DC">
            <w:pPr>
              <w:widowControl w:val="0"/>
              <w:tabs>
                <w:tab w:val="left" w:pos="1181"/>
              </w:tabs>
              <w:autoSpaceDE w:val="0"/>
              <w:autoSpaceDN w:val="0"/>
              <w:adjustRightInd w:val="0"/>
              <w:jc w:val="both"/>
            </w:pPr>
            <w:r w:rsidRPr="00E202AF">
              <w:t>Русский язык</w:t>
            </w:r>
            <w:r>
              <w:t xml:space="preserve"> </w:t>
            </w:r>
          </w:p>
        </w:tc>
      </w:tr>
      <w:tr w:rsidR="00D719C1" w:rsidRPr="00AF45DB" w:rsidTr="00B913DC">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rsidRPr="00E202AF">
              <w:t>2.</w:t>
            </w:r>
          </w:p>
        </w:tc>
        <w:tc>
          <w:tcPr>
            <w:tcW w:w="3861" w:type="dxa"/>
            <w:shd w:val="clear" w:color="auto" w:fill="auto"/>
          </w:tcPr>
          <w:p w:rsidR="00D719C1" w:rsidRPr="00E202AF" w:rsidRDefault="00D719C1" w:rsidP="00B913DC">
            <w:pPr>
              <w:widowControl w:val="0"/>
              <w:tabs>
                <w:tab w:val="left" w:pos="1181"/>
              </w:tabs>
              <w:autoSpaceDE w:val="0"/>
              <w:autoSpaceDN w:val="0"/>
              <w:adjustRightInd w:val="0"/>
              <w:jc w:val="both"/>
            </w:pPr>
            <w:r w:rsidRPr="00E202AF">
              <w:t>Физика</w:t>
            </w:r>
          </w:p>
        </w:tc>
        <w:tc>
          <w:tcPr>
            <w:tcW w:w="4153" w:type="dxa"/>
            <w:shd w:val="clear" w:color="auto" w:fill="auto"/>
          </w:tcPr>
          <w:p w:rsidR="00D719C1" w:rsidRPr="00E202AF" w:rsidRDefault="00D719C1" w:rsidP="00B913DC">
            <w:pPr>
              <w:widowControl w:val="0"/>
              <w:tabs>
                <w:tab w:val="left" w:pos="1181"/>
              </w:tabs>
              <w:autoSpaceDE w:val="0"/>
              <w:autoSpaceDN w:val="0"/>
              <w:adjustRightInd w:val="0"/>
              <w:jc w:val="both"/>
            </w:pPr>
            <w:r w:rsidRPr="00E202AF">
              <w:t>Физика</w:t>
            </w:r>
          </w:p>
        </w:tc>
      </w:tr>
      <w:tr w:rsidR="00D719C1" w:rsidRPr="00AF45DB" w:rsidTr="00B913DC">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t>3.</w:t>
            </w:r>
          </w:p>
        </w:tc>
        <w:tc>
          <w:tcPr>
            <w:tcW w:w="3861" w:type="dxa"/>
            <w:shd w:val="clear" w:color="auto" w:fill="auto"/>
          </w:tcPr>
          <w:p w:rsidR="00D719C1" w:rsidRPr="00E202AF" w:rsidRDefault="00D719C1" w:rsidP="00B913DC">
            <w:pPr>
              <w:widowControl w:val="0"/>
              <w:tabs>
                <w:tab w:val="left" w:pos="1181"/>
              </w:tabs>
              <w:autoSpaceDE w:val="0"/>
              <w:autoSpaceDN w:val="0"/>
              <w:adjustRightInd w:val="0"/>
              <w:jc w:val="both"/>
            </w:pPr>
            <w:r>
              <w:t>Математика,</w:t>
            </w:r>
          </w:p>
        </w:tc>
        <w:tc>
          <w:tcPr>
            <w:tcW w:w="4153" w:type="dxa"/>
            <w:shd w:val="clear" w:color="auto" w:fill="auto"/>
          </w:tcPr>
          <w:p w:rsidR="00D719C1" w:rsidRPr="00E202AF" w:rsidRDefault="00D719C1" w:rsidP="00B913DC">
            <w:pPr>
              <w:widowControl w:val="0"/>
              <w:tabs>
                <w:tab w:val="left" w:pos="1181"/>
              </w:tabs>
              <w:autoSpaceDE w:val="0"/>
              <w:autoSpaceDN w:val="0"/>
              <w:adjustRightInd w:val="0"/>
              <w:jc w:val="both"/>
            </w:pPr>
            <w:r>
              <w:t>Математика</w:t>
            </w:r>
          </w:p>
        </w:tc>
      </w:tr>
      <w:tr w:rsidR="00D719C1" w:rsidRPr="00AF45DB" w:rsidTr="00B913DC">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t>4.</w:t>
            </w:r>
          </w:p>
        </w:tc>
        <w:tc>
          <w:tcPr>
            <w:tcW w:w="3861" w:type="dxa"/>
            <w:shd w:val="clear" w:color="auto" w:fill="auto"/>
          </w:tcPr>
          <w:p w:rsidR="00D719C1" w:rsidRDefault="00D719C1" w:rsidP="00B913DC">
            <w:pPr>
              <w:widowControl w:val="0"/>
              <w:tabs>
                <w:tab w:val="left" w:pos="1181"/>
              </w:tabs>
              <w:autoSpaceDE w:val="0"/>
              <w:autoSpaceDN w:val="0"/>
              <w:adjustRightInd w:val="0"/>
              <w:jc w:val="both"/>
            </w:pPr>
            <w:r>
              <w:t>Информатика</w:t>
            </w:r>
          </w:p>
        </w:tc>
        <w:tc>
          <w:tcPr>
            <w:tcW w:w="4153" w:type="dxa"/>
            <w:shd w:val="clear" w:color="auto" w:fill="auto"/>
          </w:tcPr>
          <w:p w:rsidR="00D719C1" w:rsidRDefault="00D719C1" w:rsidP="00B913DC">
            <w:pPr>
              <w:widowControl w:val="0"/>
              <w:tabs>
                <w:tab w:val="left" w:pos="1181"/>
              </w:tabs>
              <w:autoSpaceDE w:val="0"/>
              <w:autoSpaceDN w:val="0"/>
              <w:adjustRightInd w:val="0"/>
              <w:jc w:val="both"/>
            </w:pPr>
            <w:r>
              <w:t>Информатика</w:t>
            </w:r>
          </w:p>
        </w:tc>
      </w:tr>
      <w:tr w:rsidR="00D719C1" w:rsidRPr="00AF45DB" w:rsidTr="00B913DC">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t>5.</w:t>
            </w:r>
          </w:p>
        </w:tc>
        <w:tc>
          <w:tcPr>
            <w:tcW w:w="3861" w:type="dxa"/>
            <w:shd w:val="clear" w:color="auto" w:fill="auto"/>
          </w:tcPr>
          <w:p w:rsidR="00D719C1" w:rsidRDefault="00D719C1" w:rsidP="00B913DC">
            <w:pPr>
              <w:widowControl w:val="0"/>
              <w:tabs>
                <w:tab w:val="left" w:pos="1181"/>
              </w:tabs>
              <w:autoSpaceDE w:val="0"/>
              <w:autoSpaceDN w:val="0"/>
              <w:adjustRightInd w:val="0"/>
              <w:jc w:val="both"/>
            </w:pPr>
            <w:r>
              <w:t>Обществознание</w:t>
            </w:r>
          </w:p>
        </w:tc>
        <w:tc>
          <w:tcPr>
            <w:tcW w:w="4153" w:type="dxa"/>
            <w:shd w:val="clear" w:color="auto" w:fill="auto"/>
          </w:tcPr>
          <w:p w:rsidR="00D719C1" w:rsidRDefault="00D719C1" w:rsidP="00B913DC">
            <w:pPr>
              <w:widowControl w:val="0"/>
              <w:tabs>
                <w:tab w:val="left" w:pos="1181"/>
              </w:tabs>
              <w:autoSpaceDE w:val="0"/>
              <w:autoSpaceDN w:val="0"/>
              <w:adjustRightInd w:val="0"/>
              <w:jc w:val="both"/>
            </w:pPr>
            <w:r>
              <w:t>Обществознание</w:t>
            </w:r>
          </w:p>
        </w:tc>
      </w:tr>
      <w:tr w:rsidR="00D719C1" w:rsidRPr="00AF45DB" w:rsidTr="00B913DC">
        <w:trPr>
          <w:trHeight w:val="160"/>
        </w:trPr>
        <w:tc>
          <w:tcPr>
            <w:tcW w:w="1242" w:type="dxa"/>
            <w:shd w:val="clear" w:color="auto" w:fill="auto"/>
          </w:tcPr>
          <w:p w:rsidR="00D719C1" w:rsidRPr="00E202AF" w:rsidRDefault="00D719C1" w:rsidP="00B913DC">
            <w:pPr>
              <w:widowControl w:val="0"/>
              <w:tabs>
                <w:tab w:val="left" w:pos="1181"/>
              </w:tabs>
              <w:autoSpaceDE w:val="0"/>
              <w:autoSpaceDN w:val="0"/>
              <w:adjustRightInd w:val="0"/>
              <w:ind w:left="360"/>
              <w:jc w:val="both"/>
            </w:pPr>
            <w:r>
              <w:t>6.</w:t>
            </w:r>
          </w:p>
        </w:tc>
        <w:tc>
          <w:tcPr>
            <w:tcW w:w="3861" w:type="dxa"/>
            <w:shd w:val="clear" w:color="auto" w:fill="auto"/>
          </w:tcPr>
          <w:p w:rsidR="00D719C1" w:rsidRPr="00106BE4" w:rsidRDefault="00D719C1" w:rsidP="00B913DC">
            <w:pPr>
              <w:widowControl w:val="0"/>
              <w:tabs>
                <w:tab w:val="left" w:pos="1181"/>
              </w:tabs>
              <w:autoSpaceDE w:val="0"/>
              <w:autoSpaceDN w:val="0"/>
              <w:adjustRightInd w:val="0"/>
              <w:jc w:val="both"/>
            </w:pPr>
            <w:r w:rsidRPr="00106BE4">
              <w:t>История</w:t>
            </w:r>
          </w:p>
        </w:tc>
        <w:tc>
          <w:tcPr>
            <w:tcW w:w="4153" w:type="dxa"/>
            <w:shd w:val="clear" w:color="auto" w:fill="auto"/>
          </w:tcPr>
          <w:p w:rsidR="00D719C1" w:rsidRDefault="00D719C1" w:rsidP="00B913DC">
            <w:pPr>
              <w:widowControl w:val="0"/>
              <w:tabs>
                <w:tab w:val="left" w:pos="1181"/>
              </w:tabs>
              <w:autoSpaceDE w:val="0"/>
              <w:autoSpaceDN w:val="0"/>
              <w:adjustRightInd w:val="0"/>
              <w:jc w:val="both"/>
            </w:pPr>
            <w:r>
              <w:t>История</w:t>
            </w:r>
          </w:p>
        </w:tc>
      </w:tr>
    </w:tbl>
    <w:p w:rsidR="00D719C1" w:rsidRPr="00511D98" w:rsidRDefault="00D719C1" w:rsidP="00D719C1">
      <w:pPr>
        <w:pStyle w:val="s1"/>
        <w:spacing w:before="0" w:beforeAutospacing="0" w:after="0" w:afterAutospacing="0"/>
        <w:ind w:firstLine="709"/>
        <w:jc w:val="both"/>
        <w:rPr>
          <w:color w:val="000000"/>
          <w:sz w:val="28"/>
          <w:szCs w:val="28"/>
          <w:shd w:val="clear" w:color="auto" w:fill="FFFFFF"/>
        </w:rPr>
      </w:pPr>
      <w:r w:rsidRPr="00511D98">
        <w:rPr>
          <w:color w:val="000000"/>
          <w:sz w:val="28"/>
          <w:szCs w:val="28"/>
          <w:shd w:val="clear" w:color="auto" w:fill="FFFFFF"/>
        </w:rPr>
        <w:t xml:space="preserve">Количество баллов ЕГЭ или общеобразовательного вступительного испытания, проводимого Академией самостоятельно, которое подтверждает особое право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Академией самостоятельно, по одному предмету (по выбору поступающего) из числа предметов, установленных в таблице № </w:t>
      </w:r>
      <w:r>
        <w:rPr>
          <w:color w:val="000000"/>
          <w:sz w:val="28"/>
          <w:szCs w:val="28"/>
          <w:shd w:val="clear" w:color="auto" w:fill="FFFFFF"/>
        </w:rPr>
        <w:t xml:space="preserve">8 </w:t>
      </w:r>
      <w:r w:rsidRPr="00511D98">
        <w:rPr>
          <w:color w:val="000000"/>
          <w:sz w:val="28"/>
          <w:szCs w:val="28"/>
          <w:shd w:val="clear" w:color="auto" w:fill="FFFFFF"/>
        </w:rPr>
        <w:t>для предоставления соответствующего особого права.</w:t>
      </w:r>
    </w:p>
    <w:p w:rsidR="00D719C1" w:rsidRPr="00E43CB9" w:rsidRDefault="00D719C1" w:rsidP="00D719C1">
      <w:pPr>
        <w:pStyle w:val="s1"/>
        <w:spacing w:before="0" w:beforeAutospacing="0" w:after="0" w:afterAutospacing="0"/>
        <w:ind w:firstLine="851"/>
        <w:jc w:val="both"/>
        <w:rPr>
          <w:color w:val="22272F"/>
          <w:sz w:val="28"/>
          <w:szCs w:val="28"/>
        </w:rPr>
      </w:pPr>
      <w:bookmarkStart w:id="0" w:name="_GoBack"/>
      <w:r w:rsidRPr="00E43CB9">
        <w:rPr>
          <w:color w:val="000000"/>
          <w:sz w:val="28"/>
          <w:szCs w:val="28"/>
          <w:shd w:val="clear" w:color="auto" w:fill="FFFFFF"/>
        </w:rPr>
        <w:t xml:space="preserve">Победители и призеры заключительного </w:t>
      </w:r>
      <w:r w:rsidRPr="00F42E04">
        <w:rPr>
          <w:sz w:val="28"/>
          <w:szCs w:val="28"/>
          <w:shd w:val="clear" w:color="auto" w:fill="FFFFFF"/>
        </w:rPr>
        <w:t>этапа </w:t>
      </w:r>
      <w:hyperlink r:id="rId14" w:anchor="dst100020" w:history="1">
        <w:r w:rsidRPr="00F42E04">
          <w:rPr>
            <w:sz w:val="28"/>
            <w:szCs w:val="28"/>
            <w:shd w:val="clear" w:color="auto" w:fill="FFFFFF"/>
          </w:rPr>
          <w:t>всероссийской олимпиады</w:t>
        </w:r>
      </w:hyperlink>
      <w:r w:rsidRPr="00F42E04">
        <w:rPr>
          <w:sz w:val="28"/>
          <w:szCs w:val="28"/>
          <w:shd w:val="clear" w:color="auto" w:fill="FFFFFF"/>
        </w:rPr>
        <w:t>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5" w:anchor="dst100013" w:history="1">
        <w:r w:rsidRPr="00F42E04">
          <w:rPr>
            <w:sz w:val="28"/>
            <w:szCs w:val="28"/>
            <w:shd w:val="clear" w:color="auto" w:fill="FFFFFF"/>
          </w:rPr>
          <w:t>порядке</w:t>
        </w:r>
      </w:hyperlink>
      <w:r w:rsidRPr="00F42E04">
        <w:rPr>
          <w:sz w:val="28"/>
          <w:szCs w:val="28"/>
          <w:shd w:val="clear" w:color="auto" w:fill="FFFFFF"/>
        </w:rPr>
        <w:t>, установленном федеральным органом исполнительной власти, осуществляющим функции по выработке</w:t>
      </w:r>
      <w:r w:rsidRPr="00E43CB9">
        <w:rPr>
          <w:color w:val="000000"/>
          <w:sz w:val="28"/>
          <w:szCs w:val="28"/>
          <w:shd w:val="clear" w:color="auto" w:fill="FFFFFF"/>
        </w:rPr>
        <w:t xml:space="preserve">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w:t>
      </w:r>
      <w:r w:rsidRPr="00E43CB9">
        <w:rPr>
          <w:color w:val="000000"/>
          <w:sz w:val="28"/>
          <w:szCs w:val="28"/>
          <w:shd w:val="clear" w:color="auto" w:fill="FFFFFF"/>
        </w:rPr>
        <w:lastRenderedPageBreak/>
        <w:t>олимпиады школьников или международной олимпиады, в течение четырех лет, следующих за годом проведения соответствующей олимпиады.</w:t>
      </w:r>
    </w:p>
    <w:p w:rsidR="00D719C1" w:rsidRPr="00FA0E50" w:rsidRDefault="00D719C1" w:rsidP="00D719C1">
      <w:pPr>
        <w:pStyle w:val="s1"/>
        <w:ind w:firstLine="851"/>
        <w:jc w:val="both"/>
        <w:rPr>
          <w:color w:val="000000"/>
          <w:sz w:val="28"/>
          <w:szCs w:val="28"/>
        </w:rPr>
      </w:pPr>
      <w:r w:rsidRPr="00B25ABC">
        <w:rPr>
          <w:color w:val="000000"/>
          <w:sz w:val="28"/>
          <w:szCs w:val="28"/>
        </w:rPr>
        <w:t xml:space="preserve">В установленный перечень олимпиад школьников входят олимпиады всех уровней, входящих в следующие перечни: перечень олимпиад школьников и их уровней </w:t>
      </w:r>
      <w:r w:rsidRPr="00DA0E13">
        <w:rPr>
          <w:color w:val="000000"/>
          <w:sz w:val="28"/>
          <w:szCs w:val="28"/>
        </w:rPr>
        <w:t xml:space="preserve">на </w:t>
      </w:r>
      <w:r w:rsidRPr="00FA0E50">
        <w:rPr>
          <w:color w:val="000000"/>
          <w:sz w:val="28"/>
          <w:szCs w:val="28"/>
        </w:rPr>
        <w:t>2024/2025, 2025/26, 2022/23, 2023/24 учебные годы.</w:t>
      </w:r>
    </w:p>
    <w:p w:rsidR="00D719C1" w:rsidRPr="00B25ABC" w:rsidRDefault="00D719C1" w:rsidP="00D719C1">
      <w:pPr>
        <w:pStyle w:val="s1"/>
        <w:ind w:firstLine="851"/>
        <w:jc w:val="both"/>
        <w:rPr>
          <w:color w:val="000000"/>
          <w:sz w:val="28"/>
          <w:szCs w:val="28"/>
        </w:rPr>
      </w:pPr>
      <w:r w:rsidRPr="00B25ABC">
        <w:rPr>
          <w:color w:val="000000"/>
          <w:sz w:val="28"/>
          <w:szCs w:val="28"/>
        </w:rPr>
        <w:t xml:space="preserve"> Результаты победителя и призера олимпиады школьников для использования особого права должны быть получены абитуриентом в 10-11 классе.</w:t>
      </w:r>
    </w:p>
    <w:p w:rsidR="00D719C1" w:rsidRDefault="00D719C1" w:rsidP="00D719C1">
      <w:pPr>
        <w:pStyle w:val="s1"/>
        <w:ind w:firstLine="851"/>
        <w:jc w:val="both"/>
        <w:rPr>
          <w:color w:val="000000"/>
          <w:sz w:val="28"/>
          <w:szCs w:val="28"/>
        </w:rPr>
      </w:pPr>
      <w:r w:rsidRPr="00B25ABC">
        <w:rPr>
          <w:color w:val="000000"/>
          <w:sz w:val="28"/>
          <w:szCs w:val="28"/>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D719C1" w:rsidRPr="004617AD" w:rsidRDefault="00D719C1" w:rsidP="00D719C1">
      <w:pPr>
        <w:pStyle w:val="s1"/>
        <w:spacing w:before="0" w:beforeAutospacing="0" w:after="0" w:afterAutospacing="0"/>
        <w:ind w:firstLine="851"/>
        <w:jc w:val="both"/>
        <w:rPr>
          <w:color w:val="000000"/>
          <w:sz w:val="28"/>
          <w:szCs w:val="28"/>
        </w:rPr>
      </w:pPr>
      <w:r w:rsidRPr="004617AD">
        <w:rPr>
          <w:sz w:val="28"/>
          <w:szCs w:val="28"/>
        </w:rPr>
        <w:t>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w:t>
      </w:r>
    </w:p>
    <w:p w:rsidR="00D719C1" w:rsidRPr="00AF45DB" w:rsidRDefault="00D719C1" w:rsidP="00D719C1">
      <w:pPr>
        <w:shd w:val="clear" w:color="auto" w:fill="FFFFFF"/>
        <w:ind w:firstLine="851"/>
        <w:jc w:val="both"/>
        <w:rPr>
          <w:sz w:val="28"/>
          <w:szCs w:val="28"/>
        </w:rPr>
      </w:pPr>
      <w:r w:rsidRPr="00AF45DB">
        <w:rPr>
          <w:sz w:val="28"/>
          <w:szCs w:val="28"/>
        </w:rPr>
        <w:t xml:space="preserve"> Поступающим предоставляются особые права:</w:t>
      </w:r>
    </w:p>
    <w:p w:rsidR="00D719C1" w:rsidRPr="00E81C20" w:rsidRDefault="00D719C1" w:rsidP="00D719C1">
      <w:pPr>
        <w:shd w:val="clear" w:color="auto" w:fill="FFFFFF"/>
        <w:ind w:firstLine="851"/>
        <w:jc w:val="both"/>
        <w:rPr>
          <w:sz w:val="28"/>
          <w:szCs w:val="28"/>
        </w:rPr>
      </w:pPr>
      <w:proofErr w:type="gramStart"/>
      <w:r w:rsidRPr="00AF45DB">
        <w:rPr>
          <w:sz w:val="28"/>
          <w:szCs w:val="28"/>
        </w:rPr>
        <w:t>право</w:t>
      </w:r>
      <w:proofErr w:type="gramEnd"/>
      <w:r w:rsidRPr="00AF45DB">
        <w:rPr>
          <w:sz w:val="28"/>
          <w:szCs w:val="28"/>
        </w:rPr>
        <w:t xml:space="preserve"> на прием на обучение на места в пределах особой квоты в соответствии </w:t>
      </w:r>
      <w:r w:rsidRPr="00E81C20">
        <w:rPr>
          <w:sz w:val="28"/>
          <w:szCs w:val="28"/>
        </w:rPr>
        <w:t>с </w:t>
      </w:r>
      <w:hyperlink r:id="rId16" w:anchor="/document/70291362/entry/108827" w:history="1">
        <w:r w:rsidRPr="00E81C20">
          <w:rPr>
            <w:sz w:val="28"/>
            <w:szCs w:val="28"/>
          </w:rPr>
          <w:t>частью 5 статьи 71</w:t>
        </w:r>
      </w:hyperlink>
      <w:r w:rsidRPr="00E81C20">
        <w:rPr>
          <w:sz w:val="28"/>
          <w:szCs w:val="28"/>
        </w:rPr>
        <w:t> Федерального закона№ 273-ФЗ;</w:t>
      </w:r>
    </w:p>
    <w:p w:rsidR="00D719C1" w:rsidRPr="00E81C20" w:rsidRDefault="00D719C1" w:rsidP="00D719C1">
      <w:pPr>
        <w:shd w:val="clear" w:color="auto" w:fill="FFFFFF"/>
        <w:ind w:firstLine="851"/>
        <w:jc w:val="both"/>
        <w:rPr>
          <w:sz w:val="28"/>
          <w:szCs w:val="28"/>
        </w:rPr>
      </w:pPr>
      <w:proofErr w:type="gramStart"/>
      <w:r w:rsidRPr="00E81C20">
        <w:rPr>
          <w:sz w:val="28"/>
          <w:szCs w:val="28"/>
        </w:rPr>
        <w:t>право</w:t>
      </w:r>
      <w:proofErr w:type="gramEnd"/>
      <w:r w:rsidRPr="00E81C20">
        <w:rPr>
          <w:sz w:val="28"/>
          <w:szCs w:val="28"/>
        </w:rPr>
        <w:t xml:space="preserve"> на прием на обучение на места в пределах отдельной квоты в соответствии с </w:t>
      </w:r>
      <w:hyperlink r:id="rId17" w:anchor="/document/70291362/entry/7151" w:history="1">
        <w:r w:rsidRPr="00E81C20">
          <w:rPr>
            <w:sz w:val="28"/>
            <w:szCs w:val="28"/>
          </w:rPr>
          <w:t>частями 5.1</w:t>
        </w:r>
      </w:hyperlink>
      <w:r w:rsidRPr="00E81C20">
        <w:rPr>
          <w:sz w:val="28"/>
          <w:szCs w:val="28"/>
        </w:rPr>
        <w:t> и </w:t>
      </w:r>
      <w:hyperlink r:id="rId18" w:anchor="/document/70291362/entry/7152" w:history="1">
        <w:r w:rsidRPr="00E81C20">
          <w:rPr>
            <w:sz w:val="28"/>
            <w:szCs w:val="28"/>
          </w:rPr>
          <w:t>5.2 статьи 71</w:t>
        </w:r>
      </w:hyperlink>
      <w:r w:rsidRPr="00E81C20">
        <w:rPr>
          <w:sz w:val="28"/>
          <w:szCs w:val="28"/>
        </w:rPr>
        <w:t> Федерального закона № 273-ФЗ;</w:t>
      </w:r>
    </w:p>
    <w:p w:rsidR="00D719C1" w:rsidRPr="00E81C20" w:rsidRDefault="00D719C1" w:rsidP="00D719C1">
      <w:pPr>
        <w:shd w:val="clear" w:color="auto" w:fill="FFFFFF"/>
        <w:ind w:firstLine="851"/>
        <w:jc w:val="both"/>
        <w:rPr>
          <w:sz w:val="28"/>
          <w:szCs w:val="28"/>
        </w:rPr>
      </w:pPr>
      <w:proofErr w:type="gramStart"/>
      <w:r w:rsidRPr="00E81C20">
        <w:rPr>
          <w:sz w:val="28"/>
          <w:szCs w:val="28"/>
        </w:rPr>
        <w:t>преимущественное</w:t>
      </w:r>
      <w:proofErr w:type="gramEnd"/>
      <w:r w:rsidRPr="00E81C20">
        <w:rPr>
          <w:sz w:val="28"/>
          <w:szCs w:val="28"/>
        </w:rPr>
        <w:t xml:space="preserve"> право зачисления в соответствии с </w:t>
      </w:r>
      <w:hyperlink r:id="rId19" w:anchor="/document/70291362/entry/108844" w:history="1">
        <w:r w:rsidRPr="00E81C20">
          <w:rPr>
            <w:sz w:val="28"/>
            <w:szCs w:val="28"/>
          </w:rPr>
          <w:t>частью 9 статьи 71</w:t>
        </w:r>
      </w:hyperlink>
      <w:r w:rsidRPr="00E81C20">
        <w:rPr>
          <w:sz w:val="28"/>
          <w:szCs w:val="28"/>
        </w:rPr>
        <w:t> Федерального закона №273-ФЗ;</w:t>
      </w:r>
    </w:p>
    <w:p w:rsidR="00D719C1" w:rsidRPr="00863002" w:rsidRDefault="00D719C1" w:rsidP="00D719C1">
      <w:pPr>
        <w:shd w:val="clear" w:color="auto" w:fill="FFFFFF"/>
        <w:ind w:firstLine="851"/>
        <w:jc w:val="both"/>
        <w:rPr>
          <w:sz w:val="28"/>
          <w:szCs w:val="28"/>
        </w:rPr>
      </w:pPr>
      <w:proofErr w:type="gramStart"/>
      <w:r w:rsidRPr="00E81C20">
        <w:rPr>
          <w:sz w:val="28"/>
          <w:szCs w:val="28"/>
        </w:rPr>
        <w:t>преимущественное</w:t>
      </w:r>
      <w:proofErr w:type="gramEnd"/>
      <w:r w:rsidRPr="00E81C20">
        <w:rPr>
          <w:sz w:val="28"/>
          <w:szCs w:val="28"/>
        </w:rPr>
        <w:t xml:space="preserve"> право зачисления в соответствии с </w:t>
      </w:r>
      <w:hyperlink r:id="rId20" w:anchor="/document/70291362/entry/108845" w:history="1">
        <w:r w:rsidRPr="00E81C20">
          <w:rPr>
            <w:sz w:val="28"/>
            <w:szCs w:val="28"/>
          </w:rPr>
          <w:t>частью 10 статьи 71</w:t>
        </w:r>
      </w:hyperlink>
      <w:r w:rsidRPr="00E81C20">
        <w:rPr>
          <w:sz w:val="28"/>
          <w:szCs w:val="28"/>
        </w:rPr>
        <w:t> Федерального закона №</w:t>
      </w:r>
      <w:r>
        <w:rPr>
          <w:sz w:val="28"/>
          <w:szCs w:val="28"/>
        </w:rPr>
        <w:t> 273-ФЗ.</w:t>
      </w:r>
    </w:p>
    <w:p w:rsidR="00D719C1" w:rsidRDefault="00D719C1" w:rsidP="00D719C1">
      <w:pPr>
        <w:shd w:val="clear" w:color="auto" w:fill="FFFFFF"/>
        <w:ind w:firstLine="851"/>
        <w:jc w:val="both"/>
        <w:rPr>
          <w:sz w:val="28"/>
          <w:szCs w:val="28"/>
        </w:rPr>
      </w:pPr>
      <w:proofErr w:type="gramStart"/>
      <w:r w:rsidRPr="00E81C20">
        <w:rPr>
          <w:sz w:val="28"/>
          <w:szCs w:val="28"/>
        </w:rPr>
        <w:t>преимущественное</w:t>
      </w:r>
      <w:proofErr w:type="gramEnd"/>
      <w:r w:rsidRPr="00E81C20">
        <w:rPr>
          <w:sz w:val="28"/>
          <w:szCs w:val="28"/>
        </w:rPr>
        <w:t xml:space="preserve"> право зачисления в соответствии с </w:t>
      </w:r>
      <w:hyperlink r:id="rId21" w:anchor="/document/70291362/entry/108845" w:history="1">
        <w:r w:rsidRPr="00E81C20">
          <w:rPr>
            <w:sz w:val="28"/>
            <w:szCs w:val="28"/>
          </w:rPr>
          <w:t>частью 1</w:t>
        </w:r>
        <w:r>
          <w:rPr>
            <w:sz w:val="28"/>
            <w:szCs w:val="28"/>
          </w:rPr>
          <w:t>1.1,11.2</w:t>
        </w:r>
        <w:r w:rsidRPr="00E81C20">
          <w:rPr>
            <w:sz w:val="28"/>
            <w:szCs w:val="28"/>
          </w:rPr>
          <w:t xml:space="preserve"> статьи 71</w:t>
        </w:r>
      </w:hyperlink>
      <w:r w:rsidRPr="00E81C20">
        <w:rPr>
          <w:sz w:val="28"/>
          <w:szCs w:val="28"/>
        </w:rPr>
        <w:t> Федерального закона №</w:t>
      </w:r>
      <w:r>
        <w:rPr>
          <w:sz w:val="28"/>
          <w:szCs w:val="28"/>
        </w:rPr>
        <w:t> 273-ФЗ.</w:t>
      </w:r>
    </w:p>
    <w:p w:rsidR="00D719C1" w:rsidRPr="001E5F6A" w:rsidRDefault="00D719C1" w:rsidP="00D719C1">
      <w:pPr>
        <w:shd w:val="clear" w:color="auto" w:fill="FFFFFF"/>
        <w:ind w:firstLine="851"/>
        <w:jc w:val="both"/>
        <w:rPr>
          <w:color w:val="000000"/>
          <w:sz w:val="28"/>
          <w:szCs w:val="28"/>
        </w:rPr>
      </w:pPr>
      <w:r w:rsidRPr="001E5F6A">
        <w:rPr>
          <w:color w:val="000000"/>
          <w:sz w:val="28"/>
          <w:szCs w:val="28"/>
        </w:rPr>
        <w:t xml:space="preserve">При приеме на обучение по программам </w:t>
      </w:r>
      <w:proofErr w:type="spellStart"/>
      <w:r w:rsidRPr="001E5F6A">
        <w:rPr>
          <w:color w:val="000000"/>
          <w:sz w:val="28"/>
          <w:szCs w:val="28"/>
        </w:rPr>
        <w:t>бакалавриата</w:t>
      </w:r>
      <w:proofErr w:type="spellEnd"/>
      <w:r w:rsidRPr="001E5F6A">
        <w:rPr>
          <w:color w:val="000000"/>
          <w:sz w:val="28"/>
          <w:szCs w:val="28"/>
        </w:rPr>
        <w:t xml:space="preserve"> и программам </w:t>
      </w:r>
      <w:proofErr w:type="spellStart"/>
      <w:r w:rsidRPr="001E5F6A">
        <w:rPr>
          <w:color w:val="000000"/>
          <w:sz w:val="28"/>
          <w:szCs w:val="28"/>
        </w:rPr>
        <w:t>специалитета</w:t>
      </w:r>
      <w:proofErr w:type="spellEnd"/>
      <w:r w:rsidRPr="001E5F6A">
        <w:rPr>
          <w:color w:val="000000"/>
          <w:sz w:val="28"/>
          <w:szCs w:val="28"/>
        </w:rPr>
        <w:t xml:space="preserve"> по каждому документу, подтверждающему особое право, предусмотренное частями 4 или 12 статьи 71 Федерального закона </w:t>
      </w:r>
      <w:r>
        <w:rPr>
          <w:color w:val="000000"/>
          <w:sz w:val="28"/>
          <w:szCs w:val="28"/>
        </w:rPr>
        <w:t>№</w:t>
      </w:r>
      <w:r w:rsidRPr="001E5F6A">
        <w:rPr>
          <w:color w:val="000000"/>
          <w:sz w:val="28"/>
          <w:szCs w:val="28"/>
        </w:rPr>
        <w:t> 273-ФЗ, организация определяет, что документ будет использоваться для получения особого права или баллов за индивидуальное достижение, с учетом начисления поступающему наибольшего количества баллов</w:t>
      </w:r>
      <w:bookmarkEnd w:id="0"/>
      <w:r w:rsidRPr="001E5F6A">
        <w:rPr>
          <w:color w:val="000000"/>
          <w:sz w:val="28"/>
          <w:szCs w:val="28"/>
        </w:rPr>
        <w:t>.</w:t>
      </w:r>
    </w:p>
    <w:p w:rsidR="008310C0" w:rsidRDefault="008310C0"/>
    <w:sectPr w:rsidR="00831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49CF"/>
    <w:multiLevelType w:val="multilevel"/>
    <w:tmpl w:val="EA7072B2"/>
    <w:lvl w:ilvl="0">
      <w:start w:val="6"/>
      <w:numFmt w:val="decimal"/>
      <w:lvlText w:val="%1."/>
      <w:lvlJc w:val="left"/>
      <w:pPr>
        <w:ind w:left="450" w:hanging="450"/>
      </w:pPr>
      <w:rPr>
        <w:rFonts w:hint="default"/>
        <w:color w:val="000000"/>
      </w:rPr>
    </w:lvl>
    <w:lvl w:ilvl="1">
      <w:start w:val="7"/>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
    <w:nsid w:val="69E42253"/>
    <w:multiLevelType w:val="multilevel"/>
    <w:tmpl w:val="1DBAA9B4"/>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BB"/>
    <w:rsid w:val="00471CBB"/>
    <w:rsid w:val="005D26A8"/>
    <w:rsid w:val="008310C0"/>
    <w:rsid w:val="00D7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8CC2F-CD97-40B2-BAE8-E1671587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9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719C1"/>
    <w:pPr>
      <w:spacing w:before="100" w:beforeAutospacing="1" w:after="100" w:afterAutospacing="1"/>
    </w:pPr>
  </w:style>
  <w:style w:type="character" w:customStyle="1" w:styleId="a3">
    <w:name w:val="Основной текст_"/>
    <w:link w:val="1"/>
    <w:rsid w:val="00D719C1"/>
    <w:rPr>
      <w:rFonts w:ascii="Times New Roman" w:eastAsia="Times New Roman" w:hAnsi="Times New Roman"/>
      <w:sz w:val="28"/>
      <w:szCs w:val="28"/>
    </w:rPr>
  </w:style>
  <w:style w:type="paragraph" w:customStyle="1" w:styleId="1">
    <w:name w:val="Основной текст1"/>
    <w:basedOn w:val="a"/>
    <w:link w:val="a3"/>
    <w:rsid w:val="00D719C1"/>
    <w:pPr>
      <w:widowControl w:val="0"/>
      <w:spacing w:line="269" w:lineRule="auto"/>
      <w:ind w:firstLine="400"/>
    </w:pPr>
    <w:rPr>
      <w:rFonts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www.consultant.ru/document/cons_doc_LAW_339533/ec856bbbbeb597d83edf4ade68bcd808dbee3cf5/"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411906/3082e6e731433554a48fa5d88cf77f7edee7222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Марковская Валентина Александровна</dc:creator>
  <cp:keywords/>
  <dc:description/>
  <cp:lastModifiedBy>Марковская Валентина Александровна</cp:lastModifiedBy>
  <cp:revision>2</cp:revision>
  <dcterms:created xsi:type="dcterms:W3CDTF">2025-12-23T02:28:00Z</dcterms:created>
  <dcterms:modified xsi:type="dcterms:W3CDTF">2025-12-23T02:35:00Z</dcterms:modified>
</cp:coreProperties>
</file>